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BbgGStV (Brandenburg) — Bauvorlagen, Feuerwehrpläne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Bauvorlagen müssen zusätzlich Angaben über</w:t>
      </w:r>
    </w:p>
    <w:p>
      <w:r>
        <w:t xml:space="preserve">die Zahl, Abmessung und Kennzeichnung der Stellplätze und Fahrgassen,</w:t>
      </w:r>
    </w:p>
    <w:p>
      <w:r>
        <w:t xml:space="preserve">die natürliche Lüftung beziehungsweise maschinelle Abluftanlagen und</w:t>
      </w:r>
    </w:p>
    <w:p>
      <w:r>
        <w:t xml:space="preserve">die CO-Warnanlage</w:t>
      </w:r>
    </w:p>
    <w:p>
      <w:r>
        <w:t xml:space="preserve">enthalten.</w:t>
      </w:r>
    </w:p>
    <w:p>
      <w:r>
        <w:t xml:space="preserve">(2) Für geschlossene Mittel- und Großgaragen sind auf Verlangen der unteren Bauaufsichtsbehörde Feuerwehrpläne anzufertigen, mit der Brandschutzdienststelle abzustimmen und der örtlichen Feuerwehr zur Verfügung zu stellen.</w:t>
      </w:r>
    </w:p>
    <w:p>
      <w:r>
        <w:rPr>
          <w:color w:val="555555"/>
          <w:sz w:val="17"/>
        </w:rPr>
        <w:t xml:space="preserve">Zitiervorschlag: § 22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