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BbgGStV (Brandenburg) — Einbauten und technische Anlagen</w:t>
      </w:r>
    </w:p>
    <w:p>
      <w:r>
        <w:rPr>
          <w:color w:val="555555"/>
          <w:sz w:val="18"/>
        </w:rPr>
        <w:t xml:space="preserve">Brandenburgische Garagen- und Stellplatzverordnung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Einbauten, insbesondere Einrichtungen für mechanische Parksysteme, müssen in den wesentlichen Teilen aus nichtbrennbaren Baustoffen bestehen. Dies gilt nicht für die Ladeinfrastruktur für Elektrofahrzeuge. Die Aufstellung und der Betrieb von Energiespeichersystemen ist in Mittel- und Großgaragen außerhalb von Fahrzeugen nur zulässig, wenn sie von den Stellplätzen abgetrennt und vor äußeren Einwirkungen geschützt sind. Der Einbau von Klima-, Lüftungs-, Kälte- und Abgasanlagen, die nicht der Garagennutzung dienen, ist in Garagen nicht zulässig.</w:t>
      </w:r>
    </w:p>
    <w:p>
      <w:r>
        <w:t xml:space="preserve">(2) Leitungsanlagen, die nicht der Versorgung der Garage dienen, dürfen durch Garagen geführt werden, sofern diese Verkehrsflächen und Stellplätze nicht einschränken und sie gegen Vandalismus, Anprall und sonstige mechanische Beschädigungen geschützt werden. Satz 1 gilt nicht für Hoch- und Mittelspannungsleitungen und Gasversorgungs-leitungen.</w:t>
      </w:r>
    </w:p>
    <w:p>
      <w:r>
        <w:rPr>
          <w:color w:val="555555"/>
          <w:sz w:val="17"/>
        </w:rPr>
        <w:t xml:space="preserve">Zitiervorschlag: § 20 BbgGStV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https://recht.nulegal.eu/gesetze/BbgGStV/20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