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BbgGStV (Brandenburg) — Begriffe und allgemeine Anforderungen</w:t>
      </w:r>
    </w:p>
    <w:p>
      <w:r>
        <w:rPr>
          <w:color w:val="555555"/>
          <w:sz w:val="18"/>
        </w:rPr>
        <w:t xml:space="preserve">Brandenburgische Garagen- und Stellplatzverordnung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Offene Mittel- und Großgaragen sind Garagen, die in jedem Geschoss unmittelbar ins Freie führende unverschließbare Öffnungen in einer Größe von insgesamt mindestens einem Drittel der Gesamtfläche der Umfassungswände haben, bei denen mindestens zwei sich gegenüberliegende Umfassungswände mit den ins Freie führenden Öffnungen nicht mehr als 70 Meter voneinander entfernt sind und bei denen eine ständige Querlüftung im Bereich der Stellplätze vorhanden ist; die Querlüftung darf zum Beispiel durch vorgestellte Wände oder Außenwandbegrünungen nicht eingeschränkt werden. Stellplätze mit Schutzdächern und ohne Wände (Carports) sind offene Garagen.</w:t>
      </w:r>
    </w:p>
    <w:p>
      <w:r>
        <w:t xml:space="preserve">(2) Offene Kleingaragen sind Kleingaragen, die unmittelbar ins Freie führende unverschließbare Öffnungen in einer Größe von insgesamt mindestens einem Drittel der Gesamtfläche der Umfassungswände haben.</w:t>
      </w:r>
    </w:p>
    <w:p>
      <w:r>
        <w:t xml:space="preserve">(3) Geschlossene Garagen sind Garagen, die die Voraussetzungen nach den Absätzen 1 und 2 nicht erfüllen.</w:t>
      </w:r>
    </w:p>
    <w:p>
      <w:r>
        <w:t xml:space="preserve">(4) Oberirdische Garagen sind Garagen, deren Fußboden im Mittel nicht mehr als 1,50 Meter unter der Geländeoberfläche liegt.</w:t>
      </w:r>
    </w:p>
    <w:p>
      <w:r>
        <w:t xml:space="preserve">(5) Automatische Garagen sind Garagen ohne Personen- und Fahrverkehr, in denen die Kraftfahrzeuge mit mechanischen Förderanlagen von der Garagenzufahrt zu den Stellplätzen befördert und ebenso zum Abholen an die Garagenausfahrt zurückbefördert werden.</w:t>
      </w:r>
    </w:p>
    <w:p>
      <w:r>
        <w:t xml:space="preserve">(6) Ein Stellplatz ist eine Fläche, die dem Abstellen eines Kraftfahrzeuges in einer Garage oder auf einer Stellplatzanlage dient.</w:t>
      </w:r>
    </w:p>
    <w:p>
      <w:r>
        <w:t xml:space="preserve">(7) Eine Stellplatzanlage ist eine zusammenhängende Fläche, die aus mehreren Stellplätzen und den Verkehrsflächen besteht.</w:t>
      </w:r>
    </w:p>
    <w:p>
      <w:r>
        <w:t xml:space="preserve">(8) Die Nutzfläche einer Garage ist die Summe aller miteinander verbundenen Flächen der Stellplätze, Abstellplätze für Fahrräder, Anhänger und Elektrokleinstfahrzeuge und der Verkehrsflächen. Die Nutzfläche einer automatischen Garage ist die Summe der Flächen aller Stellplätze. Stellplätze auf Dächern und die dazugehörigen Verkehrsflächen werden der Nutzfläche nicht zugerechnet, soweit nichts anderes bestimmt ist.</w:t>
      </w:r>
    </w:p>
    <w:p>
      <w:r>
        <w:t xml:space="preserve">(9) Garagen mit einer Nutzfläche</w:t>
      </w:r>
    </w:p>
    <w:p>
      <w:r>
        <w:t xml:space="preserve">bis zu 100 Quadratmeter sind Kleingaragen,</w:t>
      </w:r>
    </w:p>
    <w:p>
      <w:r>
        <w:t xml:space="preserve">über 100 Quadratmeter bis 1 000 Quadratmeter sind Mittelgaragen und</w:t>
      </w:r>
    </w:p>
    <w:p>
      <w:r>
        <w:t xml:space="preserve">über 1 000 Quadratmeter sind Großgaragen.</w:t>
      </w:r>
    </w:p>
    <w:p>
      <w:r>
        <w:t xml:space="preserve">(10) Soweit in dieser Verordnung nichts Abweichendes geregelt ist, sind auf tragende und aussteifende sowie auf raumabschließende Bauteile von Garagen die Anforderungen der Brandenburgischen Bauordnung an diese Bauteile in Gebäuden der Gebäudeklasse 5 anzuwenden. Die Erleichterungen des § 29 Absatz 6, § 30 Absatz 3 Satz 2, § 31 Absatz 4 Nummer 1 und 2, § 36 Absatz 1 Satz 2 Nummer 2, § 39 Absatz 1 Satz 3 Nummer 4, § 40 Absatz 1 Nummer 1 und 3 sowie des § 41 Absatz 5 Nummer 1 und 3 der Brandenburgischen Bauordnung sind nicht anzuwenden.</w:t>
      </w:r>
    </w:p>
    <w:p>
      <w:r>
        <w:rPr>
          <w:color w:val="555555"/>
          <w:sz w:val="17"/>
        </w:rPr>
        <w:t xml:space="preserve">Zitiervorschlag: § 2 BbgGStV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https://recht.nulegal.eu/gesetze/BbgGStV/2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