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BbgGStV (Brandenburg) — Sicherheitsstromversorgung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Sicherheitstechnische Anlagen in Garagen müssen eine Sicherheitsstromversorgung haben, die bei Ausfall der allgemeinen Stromversorgung den Betrieb der sicherheitstechnischen Anlagen und Einrichtungen übernehmen, insbesondere der</w:t>
      </w:r>
    </w:p>
    <w:p>
      <w:r>
        <w:t xml:space="preserve">Sicherheitsbeleuchtung,</w:t>
      </w:r>
    </w:p>
    <w:p>
      <w:r>
        <w:t xml:space="preserve">selbsttätigen Feuerlöschanlagen,</w:t>
      </w:r>
    </w:p>
    <w:p>
      <w:r>
        <w:t xml:space="preserve">Rauchabzugsanlagen,</w:t>
      </w:r>
    </w:p>
    <w:p>
      <w:r>
        <w:t xml:space="preserve">CO-Warnanlagen,</w:t>
      </w:r>
    </w:p>
    <w:p>
      <w:r>
        <w:t xml:space="preserve">Brandmeldeanlagen,</w:t>
      </w:r>
    </w:p>
    <w:p>
      <w:r>
        <w:t xml:space="preserve">Objektfunkanlagen und</w:t>
      </w:r>
    </w:p>
    <w:p>
      <w:r>
        <w:t xml:space="preserve">Schließeinrichtungen für Feuerschutzabschlüsse, zum Beispiel Rolltore.</w:t>
      </w:r>
    </w:p>
    <w:p>
      <w:r>
        <w:t xml:space="preserve">Einzelne sicherheitstechnische Anlagen können auch an einer Sicherheitsstromversorgungsanlage angeschlossen sein.</w:t>
      </w:r>
    </w:p>
    <w:p>
      <w:r>
        <w:rPr>
          <w:color w:val="555555"/>
          <w:sz w:val="17"/>
        </w:rPr>
        <w:t xml:space="preserve">Zitiervorschlag: § 19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