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BbgGStV (Brandenburg) — Brandmeldeanlagen, Objektfunkanlagen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Geschlossene Großgaragen mit einer Nutzfläche von mehr als 2 500 Quadratmetern müssen Brandmeldeanlagen mit nichtautomatischen und automatischen Brandmeldern haben.</w:t>
      </w:r>
    </w:p>
    <w:p>
      <w:r>
        <w:t xml:space="preserve">(2) Geschlossene Mittel- und Großgaragen müssen Brandmeldeanlagen haben, wenn sie mit Gebäudeteilen in Verbindung stehen, für die Brandmeldeanlagen erforderlich sind.</w:t>
      </w:r>
    </w:p>
    <w:p>
      <w:r>
        <w:t xml:space="preserve">(3) Sofern in Großgaragen selbsttätige Feuerlöschanlagen nach § 17 Absatz 3 vorhanden sind, erfolgt die Auslösung der Brandmeldeanlage über die selbsttätige Feuerlöschanlage. In diesem Fall sind keine zusätzlichen selbsttätigen Brandmelder erforderlich.</w:t>
      </w:r>
    </w:p>
    <w:p>
      <w:r>
        <w:t xml:space="preserve">(4) Wird die Funkkommunikation der Einsatzkräfte der Feuerwehr in Geschossen von Großgaragen, deren Fußboden im Mittel</w:t>
      </w:r>
    </w:p>
    <w:p>
      <w:r>
        <w:t xml:space="preserve">entweder mehr als 4 Meter unter oder</w:t>
      </w:r>
    </w:p>
    <w:p>
      <w:r>
        <w:t xml:space="preserve">mehr als 22 Meter über</w:t>
      </w:r>
    </w:p>
    <w:p>
      <w:r>
        <w:t xml:space="preserve">der Geländeoberfläche liegt, durch die bauliche Anlage gestört, so ist die Großgarage mit technischen Anlagen zur Unterstützung des Funkverkehrs auszustatten.</w:t>
      </w:r>
    </w:p>
    <w:p>
      <w:r>
        <w:t xml:space="preserve">(5) Absatz 4 gilt nicht für automatische Garagen.</w:t>
      </w:r>
    </w:p>
    <w:p>
      <w:r>
        <w:rPr>
          <w:color w:val="555555"/>
          <w:sz w:val="17"/>
        </w:rPr>
        <w:t xml:space="preserve">Zitiervorschlag: § 18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