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BbgGStV (Brandenburg) — Beleuchtung, Sicherheitsbeleuchtung</w:t>
      </w:r>
    </w:p>
    <w:p>
      <w:r>
        <w:rPr>
          <w:color w:val="555555"/>
          <w:sz w:val="18"/>
        </w:rPr>
        <w:t xml:space="preserve">Brandenburgische Garagen- und Stellplatzverordnung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In Mittel- und Großgaragen muss eine allgemeine elektrische Beleuchtung vorhanden sein. Sie muss so schaltbar sein, dass während der Betriebszeit die Beleuchtungsstärke mindestens 20 Lux, im Übrigen ständig mindestens 1 Lux beträgt. In Mittel- und Großgaragen mit festem Benutzerkreis genügt abweichend von Satz 2 eine Beleuchtung mit einer Beleuchtungsstärke von mindestens 20 Lux, die über Bewegungs- oder Präsenzmelder gesteuert wird; die Grundbeleuchtung von 1 Lux kann entfallen.</w:t>
      </w:r>
    </w:p>
    <w:p>
      <w:r>
        <w:t xml:space="preserve">(2) In geschlossenen Großgaragen muss eine Sicherheitsbeleuchtung zur Beleuchtung der Rettungswege und der Sicherheitszeichen vorhanden sein.</w:t>
      </w:r>
    </w:p>
    <w:p>
      <w:r>
        <w:t xml:space="preserve">(3) In geschlossenen Mittelgaragen ist eine Kennzeichnung der Ausgänge ins Freie und zu den notwendigen Treppenräumen durch akkugepufferte Notleuchten vorzusehen, die mindestens 30 Minuten Notbetrieb gewährleisten.</w:t>
      </w:r>
    </w:p>
    <w:p>
      <w:r>
        <w:t xml:space="preserve">(4) Die Absätze 1 bis 3 gelten nicht für automatische Garagen.</w:t>
      </w:r>
    </w:p>
    <w:p>
      <w:r>
        <w:rPr>
          <w:color w:val="555555"/>
          <w:sz w:val="17"/>
        </w:rPr>
        <w:t xml:space="preserve">Zitiervorschlag: § 15 BbgGStV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https://recht.nulegal.eu/gesetze/BbgGStV/15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