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BbgGStV (Brandenburg) — Brandabschnitte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Geschlossene Garagen, ausgenommen automatische Garagen, müssen durch Brandwände nach § 30 Absatz 3 Satz 1 der Brandenburgischen Bauordnung in Brandabschnitte mit Nutzflächen</w:t>
      </w:r>
    </w:p>
    <w:p>
      <w:r>
        <w:t xml:space="preserve">in oberirdischen geschlossenen Garagen bis höchstens 5 000 Quadratmeter,</w:t>
      </w:r>
    </w:p>
    <w:p>
      <w:r>
        <w:t xml:space="preserve">in sonstigen geschlossenen Garagen bis höchstens 2 500 Quadratmeter</w:t>
      </w:r>
    </w:p>
    <w:p>
      <w:r>
        <w:t xml:space="preserve">unterteilt sein. Die Nutzfläche darf höchstens doppelt so groß sein, wenn die Garagen selbsttätige Feuerlöschanlagen haben.</w:t>
      </w:r>
    </w:p>
    <w:p>
      <w:r>
        <w:t xml:space="preserve">(2) Automatische Garagen müssen durch Brandwände nach § 30 Absatz 3 Satz 1 der Brandenburgischen Bau-ordnung in Brandabschnitte von höchstens 6 000 Kubikmeter Brutto-Rauminhalt unterteilt sein.</w:t>
      </w:r>
    </w:p>
    <w:p>
      <w:r>
        <w:t xml:space="preserve">(3) Öffnungen in den Wänden nach Absatz 1 müssen mit feuerbeständigen, dicht- und selbstschließenden Abschlüssen versehen sein. Feuerhemmende, dicht- und selbstschließende Abschlüsse sind zulässig, wenn die Garagen selbsttätige Feuerlöschanlagen haben. Die Abschlüsse von Öffnungen im Bereich von Fahrgassen müssen Feststellanlagen haben, die bei Raucheinwirkung ein selbsttätiges Schließen bewirken; sie müssen auch von Hand geschlossen werden können.</w:t>
      </w:r>
    </w:p>
    <w:p>
      <w:r>
        <w:t xml:space="preserve">(4) § 30 Absatz 2 Nummer 2 der Brandenburgischen Bauordnung gilt nicht für Garagen.</w:t>
      </w:r>
    </w:p>
    <w:p>
      <w:r>
        <w:rPr>
          <w:color w:val="555555"/>
          <w:sz w:val="17"/>
        </w:rPr>
        <w:t xml:space="preserve">Zitiervorschlag: § 12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