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BbgGStV (Brandenburg) — Wände und Decken von Kleingaragen</w:t>
      </w:r>
    </w:p>
    <w:p>
      <w:r>
        <w:rPr>
          <w:color w:val="555555"/>
          <w:sz w:val="18"/>
        </w:rPr>
        <w:t xml:space="preserve">Brandenburgische Garagen- und Stellplatzverordnung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Kleingaragen sind tragende Wände und Decken ohne Feuerwiderstandsfähigkeit zulässig. Für Kleingaragen in sonst anders genutzten Gebäuden gelten die Anforderungen der §§ 27 und 31 der Brandenburgischen Bauordnung für diese Gebäude.</w:t>
      </w:r>
    </w:p>
    <w:p>
      <w:r>
        <w:t xml:space="preserve">(2) Trennwände und Decken zwischen Kleingaragen und anderen Räumen oder Gebäuden müssen als raumabschließende Bauteile feuerhemmend sein, soweit sich aus § 29 Absatz 3 sowie § 31 Absatz 1 und 2 der Brandenburgischen Bauordnung keine weitergehenden Anforderungen ergeben. Satz 1 gilt nicht für Trennwände zwischen</w:t>
      </w:r>
    </w:p>
    <w:p>
      <w:r>
        <w:t xml:space="preserve">offenen Kleingaragen und anders genutzten Räumen oder Gebäuden,</w:t>
      </w:r>
    </w:p>
    <w:p>
      <w:r>
        <w:t xml:space="preserve">Kleingaragen und Räumen oder Gebäuden, die nur Abstellzwecken dienen und nicht mehr als 20 Quadratmeter Grundfläche haben.</w:t>
      </w:r>
    </w:p>
    <w:p>
      <w:r>
        <w:t xml:space="preserve">(3) Anstelle von Gebäudeabschlusswänden nach § 30 Absatz 2 Nummer 1 der Brandenburgischen Bauordnung genügen Wände ohne Öffnungen, die feuerhemmend sind oder aus nichtbrennbaren Baustoffen bestehen. Für offene Kleingaragen ist eine Gebäudeabschlusswand nach § 30 Absatz 2 Nummer 1 der Brandenburgischen Bauordnung nicht erforderlich; dies gilt für angebaute Abstellräume mit nicht mehr als 20 Quadratmeter Grundfläche entsprechend.</w:t>
      </w:r>
    </w:p>
    <w:p>
      <w:r>
        <w:t xml:space="preserve">(4) Geschlossene Kleingaragen dürfen mit anderen Kleingaragen sowie nicht zur Garage gehörenden Räumen und mit anderen Gebäuden unmittelbar nur durch Öffnungen mit mindestens feuerhemmenden, dicht- und selbstschließenden Abschlüssen verbunden sein.</w:t>
      </w:r>
    </w:p>
    <w:p>
      <w:r>
        <w:rPr>
          <w:color w:val="555555"/>
          <w:sz w:val="17"/>
        </w:rPr>
        <w:t xml:space="preserve">Zitiervorschlag: § 11 BbgGStV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https://recht.nulegal.eu/gesetze/BbgGStV/11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