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BbgGStV (Brandenburg) — Gebäudeabschlusswände</w:t>
      </w:r>
    </w:p>
    <w:p>
      <w:r>
        <w:rPr>
          <w:color w:val="555555"/>
          <w:sz w:val="18"/>
        </w:rPr>
        <w:t xml:space="preserve">Brandenburgische Garagen- und Stellplatzverordnung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Gebäudeabschlusswände im Sinne von § 30 Absatz 2 Nummer 1 der Brandenburgischen Bauordnung sind in Mittel- und Großgaragen als Brandwände auszuführen. Bei eingeschossigen oberirdischen Mittel- und Großgaragen genügen Wände, die auch unter zusätzlicher mechanischer Beanspruchung mindestens hochfeuerhemmend sind, wenn das Gebäude allein der Garagennutzung dient.</w:t>
      </w:r>
    </w:p>
    <w:p>
      <w:r>
        <w:rPr>
          <w:color w:val="555555"/>
          <w:sz w:val="17"/>
        </w:rPr>
        <w:t xml:space="preserve">Zitiervorschlag: § 10 BbgGStV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https://recht.nulegal.eu/gesetze/BbgGStV/10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