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BbgGStV (Brandenburg) — Anwendungsbereich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Verordnung gilt für Stellplätze und Garagen im Sinne von § 2 Absatz 7 und § 49 der Brandenburgischen Bauordnung.</w:t>
      </w:r>
    </w:p>
    <w:p>
      <w:r>
        <w:t xml:space="preserve">(2) Die Verordnung gilt nicht für Gebäude und Gebäudeteile zum Abstellen von</w:t>
      </w:r>
    </w:p>
    <w:p>
      <w:r>
        <w:t xml:space="preserve">Dienstfahrzeugen, die dem Brand- und Katastrophenschutz oder dem Rettungsdienst dienen,</w:t>
      </w:r>
    </w:p>
    <w:p>
      <w:r>
        <w:t xml:space="preserve">Arbeitsmaschinen oder land- und forstwirtschaftlichen Zugmaschinen oder</w:t>
      </w:r>
    </w:p>
    <w:p>
      <w:r>
        <w:t xml:space="preserve">Betriebsfahrzeugen in Werk- und Lagerräumen von Handwerksbetrieben, wenn die Abstellfläche im Arbeitsraum im Verhältnis zur Grundfläche des Arbeitsraumes untergeordnet ist.</w:t>
      </w:r>
    </w:p>
    <w:p>
      <w:r>
        <w:rPr>
          <w:color w:val="555555"/>
          <w:sz w:val="17"/>
        </w:rPr>
        <w:t xml:space="preserve">Zitiervorschlag: § 1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