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BbgGGZV (Brandenburg) — Inkrafttreten, Außerkrafttreten</w:t>
      </w:r>
    </w:p>
    <w:p>
      <w:r>
        <w:rPr>
          <w:color w:val="555555"/>
          <w:sz w:val="18"/>
        </w:rPr>
        <w:t xml:space="preserve">Brandenburgische Gefahrgutzuständigkeitsverordnung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Diese Verordnung tritt am Tag nach der Verkündung in Kraft. Gleichzeitig tritt die Gefahrgutzuständigkeitsverordnung vom 18. September 2002 ( GVBl. II S. 581) außer Kraft.</w:t>
      </w:r>
    </w:p>
    <w:p>
      <w:r>
        <w:t xml:space="preserve">Potsdam, den 7. Dezember 2010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Matthias Platzeck</w:t>
      </w:r>
    </w:p>
    <w:p>
      <w:r>
        <w:t xml:space="preserve">Der Minister für Infrastruktur und Landwirtschaft</w:t>
      </w:r>
    </w:p>
    <w:p>
      <w:r>
        <w:t xml:space="preserve">Jörg Vogelsänger</w:t>
      </w:r>
    </w:p>
    <w:p>
      <w:r>
        <w:rPr>
          <w:color w:val="555555"/>
          <w:sz w:val="17"/>
        </w:rPr>
        <w:t xml:space="preserve">Zitiervorschlag: § 3 BbgGGZV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https://recht.nulegal.eu/gesetze/BbgGGZV/3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