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BbgGEGGebO (Brandenburg) — Zeitgebühr</w:t>
      </w:r>
    </w:p>
    <w:p>
      <w:r>
        <w:rPr>
          <w:color w:val="555555"/>
          <w:sz w:val="18"/>
        </w:rPr>
        <w:t xml:space="preserve">Brandenburgische Gebäudeenergiegesetzgebührenordnung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Soweit Gebühren als Zeitgebühr zu berechnen sind, ist ein Stundensatz in Höhe von 75 Euro zu Grunde zu legen. Die Abrechnung der Zeitgebühr erfolgt je angefangener Viertelstunde.</w:t>
      </w:r>
    </w:p>
    <w:p>
      <w:r>
        <w:t xml:space="preserve">(2) Bei der Ermittlung der Zeitgebühr ist die Zeit anzusetzen, die unter regelmäßigen Verhältnissen von einer entsprechend ausgebildeten Fachkraft benötigt wird. Die Berechnung der Zeitgebühr ist zu dokumentieren.</w:t>
      </w:r>
    </w:p>
    <w:p>
      <w:r>
        <w:rPr>
          <w:color w:val="555555"/>
          <w:sz w:val="17"/>
        </w:rPr>
        <w:t xml:space="preserve">Zitiervorschlag: § 2 BbgGEGGebO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https://recht.nulegal.eu/gesetze/BbgGEGGebO/2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