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BbgGEGGebO (Brandenburg) — Gebührenpflichtige Leistung</w:t>
      </w:r>
    </w:p>
    <w:p>
      <w:r>
        <w:rPr>
          <w:color w:val="555555"/>
          <w:sz w:val="18"/>
        </w:rPr>
        <w:t xml:space="preserve">Brandenburgische Gebäudeenergiegesetzgebührenordnung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unteren Bauaufsichtsbehörden erheben für öffentliche Leistungen im Bereich des Gebäudeenergiegesetzes sowie der Brandenburgischen Durchführungsverordnung zum Gebäudeenergiegesetz vom 8. August 2024 ( GVBl. II Nr. 62) in der jeweils geltenden Fassung Gebühren gemäß dem Gebührenverzeichnis der Anlage zu dieser Verordnung. Auslagen werden nach § 9 des Gebührengesetzes für das Land Brandenburg erhoben.</w:t>
      </w:r>
    </w:p>
    <w:p>
      <w:r>
        <w:rPr>
          <w:color w:val="555555"/>
          <w:sz w:val="17"/>
        </w:rPr>
        <w:t xml:space="preserve">Zitiervorschlag: § 1 BbgGEGGebO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https://recht.nulegal.eu/gesetze/BbgGEGGebO/1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