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BbgGEGDV (Brandenburg) — Vordrucke</w:t>
      </w:r>
    </w:p>
    <w:p>
      <w:r>
        <w:rPr>
          <w:color w:val="555555"/>
          <w:sz w:val="18"/>
        </w:rPr>
        <w:t xml:space="preserve">Brandenburgische GEG-Durchführungsverordnung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Erfüllungserklärung nach § 2 Absatz 1 und 2 ist der von dem für das Bauordnungsrecht zuständige Ministerium veröffentlichte Vordruck zu verwenden.</w:t>
      </w:r>
    </w:p>
    <w:p>
      <w:r>
        <w:rPr>
          <w:color w:val="555555"/>
          <w:sz w:val="17"/>
        </w:rPr>
        <w:t xml:space="preserve">Zitiervorschlag: § 3 BbgGEGDV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https://recht.nulegal.eu/gesetze/BbgGEGDV/3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