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BbgGDIG (Brandenburg) — Interoperabilität</w:t>
      </w:r>
    </w:p>
    <w:p>
      <w:r>
        <w:rPr>
          <w:color w:val="555555"/>
          <w:sz w:val="18"/>
        </w:rPr>
        <w:t xml:space="preserve">Brandenburgisches Geodateninfrastrukturgesetz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30.07.2026 (konsolidierte Textfassung, kein amtliches Inkrafttretensdatum)</w:t>
      </w:r>
    </w:p>
    <w:p>
      <w:r>
        <w:t xml:space="preserve">Geodaten und Geodatendienste sowie Metadaten sind interoperabel bereitzustellen.</w:t>
      </w:r>
    </w:p>
    <w:p>
      <w:r>
        <w:rPr>
          <w:color w:val="555555"/>
          <w:sz w:val="17"/>
        </w:rPr>
        <w:t xml:space="preserve">Zitiervorschlag: § 8 BbgGDIG (Brandenburg)</w:t>
      </w:r>
    </w:p>
    <w:p>
      <w:r>
        <w:rPr>
          <w:color w:val="555555"/>
          <w:sz w:val="17"/>
        </w:rPr>
        <w:t xml:space="preserve">Quelle: bravors, abgerufen 29.07.2026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https://recht.nulegal.eu/gesetze/BbgGDIG/8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