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BbgGDIG (Brandenburg) — Betroffene Geodaten und Geodatendienste</w:t>
      </w:r>
    </w:p>
    <w:p>
      <w:r>
        <w:rPr>
          <w:color w:val="555555"/>
          <w:sz w:val="18"/>
        </w:rPr>
        <w:t xml:space="preserve">Brandenburgisches Geodateninfrastrukturgesetz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gilt für Geodaten, die noch in Verwendung stehen und folgende Bedingungen erfüllen:</w:t>
      </w:r>
    </w:p>
    <w:p>
      <w:r>
        <w:t xml:space="preserve">sie beziehen sich auf das Hoheitsgebiet des Landes Brandenburg,</w:t>
      </w:r>
    </w:p>
    <w:p>
      <w:r>
        <w:t xml:space="preserve">sie liegen in elektronischer Form vor,</w:t>
      </w:r>
    </w:p>
    <w:p>
      <w:r>
        <w:t xml:space="preserve">sie sind vorhanden bei</w:t>
      </w:r>
    </w:p>
    <w:p>
      <w:r>
        <w:t xml:space="preserve">einer Behörde und wurden von einer Behörde erstellt oder sind bei einer solchen eingegangen oder sie werden von dieser Behörde verwaltet oder aktualisiert und fallen unter ihren öffentlichen Auftrag,</w:t>
      </w:r>
    </w:p>
    <w:p>
      <w:r>
        <w:t xml:space="preserve">Dritten, denen gemäß § 9 Absatz 4 Anschluss an die Geodateninfrastruktur gewährt wird,</w:t>
      </w:r>
    </w:p>
    <w:p>
      <w:r>
        <w:t xml:space="preserve">oder werden für diese bereitgehalten und</w:t>
      </w:r>
    </w:p>
    <w:p>
      <w:r>
        <w:t xml:space="preserve">sie betreffen ein oder mehrere Themen der Anhänge 1, 2 oder 3 entsprechend den Anhängen zur Richtlinie 2007/2/EG.</w:t>
      </w:r>
    </w:p>
    <w:p>
      <w:r>
        <w:t xml:space="preserve">(2) Sind identische Kopien derselben Geodaten bei verschiedenen Behörden vorhanden oder werden sie für diese bereitgehalten, so gilt das Gesetz nur für die Referenzversion, von der die verschiedenen Kopien abgeleitet sind.</w:t>
      </w:r>
    </w:p>
    <w:p>
      <w:r>
        <w:t xml:space="preserve">(3) Dieses Gesetz gilt auch für Geodatendienste, die sich auf die in Absatz 1 genannten Geodaten beziehen.</w:t>
      </w:r>
    </w:p>
    <w:p>
      <w:r>
        <w:t xml:space="preserve">(4) Im Fall von Geodaten nach Absatz 1 und Geodatendiensten nach Absatz 3, an denen Dritte Rechte geistigen Eigentums haben, kann die Behörde Maßnahmen gemäß diesem Gesetz nur mit deren Zustimmung treffen.</w:t>
      </w:r>
    </w:p>
    <w:p>
      <w:r>
        <w:t xml:space="preserve">(5) Die bei den Gemeinden und Gemeindeverbänden vorhandenen Geodaten und Geodatendienste im Sinne von Absatz 1 und 3 unterliegen diesem Gesetz nur, wenn ihre Erfassung oder Verbreitung rechtlich vorgeschrieben ist.</w:t>
      </w:r>
    </w:p>
    <w:p>
      <w:r>
        <w:rPr>
          <w:color w:val="555555"/>
          <w:sz w:val="17"/>
        </w:rPr>
        <w:t xml:space="preserve">Zitiervorschlag: § 4 BbgGDIG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https://recht.nulegal.eu/gesetze/BbgGDIG/4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