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BbgGDIG (Brandenburg) — Koordinierung</w:t>
      </w:r>
    </w:p>
    <w:p>
      <w:r>
        <w:rPr>
          <w:color w:val="555555"/>
          <w:sz w:val="18"/>
        </w:rPr>
        <w:t xml:space="preserve">Brandenburgisches Geodateninfrastrukturgesetz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nationale Anlaufstelle auf Bundesebene nach Artikel 19 Absatz 2 der Richtlinie 2007/2/EG wird durch eine ressortübergreifende Kontaktstelle im Land Brandenburg unterstützt.</w:t>
      </w:r>
    </w:p>
    <w:p>
      <w:r>
        <w:t xml:space="preserve">(2) Die für Inneres zuständige oberste Landesbehörde ist federführend bei der Konzeption und koordinierend bei der Umsetzung der Geodateninfrastruktur Brandenburg und deren künftigem Betrieb tätig. Sie richtet die ressortübergreifende Kontaktstelle ein.</w:t>
      </w:r>
    </w:p>
    <w:p>
      <w:r>
        <w:rPr>
          <w:color w:val="555555"/>
          <w:sz w:val="17"/>
        </w:rPr>
        <w:t xml:space="preserve">Zitiervorschlag: § 10 BbgGDIG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https://recht.nulegal.eu/gesetze/BbgGDIG/10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