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BbgGDIG (Brandenburg) — Ziel</w:t>
      </w:r>
    </w:p>
    <w:p>
      <w:r>
        <w:rPr>
          <w:color w:val="555555"/>
          <w:sz w:val="18"/>
        </w:rPr>
        <w:t xml:space="preserve">Brandenburgisches Geodateninfrastrukturgesetz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Gesetz schafft den rechtlichen Rahmen für den Aufbau und den Betrieb der Geodateninfrastruktur Brandenburg als Bestandteil der nationalen Geodateninfrastruktur im Sinne der Richtlinie 2007/2/EG des Europäischen Parlaments und des Rates vom 14. März 2007 zur Schaffung einer Geodateninfrastruktur in der Europäischen Gemeinschaft ( ABl. L 108 vom 25.4.2007, S. 1).</w:t>
      </w:r>
    </w:p>
    <w:p>
      <w:r>
        <w:t xml:space="preserve">(2) Die Geodateninfrastruktur Brandenburg soll sicherstellen, dass Geodaten über das Gebiet des Landes Brandenburg den öffentlichen Stellen, der Wirtschaft, der Wissenschaft und dem Einzelnen für eine breite Nutzung</w:t>
      </w:r>
    </w:p>
    <w:p>
      <w:r>
        <w:t xml:space="preserve">nachhaltig, aktuell und in hoher Qualität zur Verfügung stehen sowie</w:t>
      </w:r>
    </w:p>
    <w:p>
      <w:r>
        <w:t xml:space="preserve">einfach und schnell zugänglich sind.</w:t>
      </w:r>
    </w:p>
    <w:p>
      <w:r>
        <w:rPr>
          <w:color w:val="555555"/>
          <w:sz w:val="17"/>
        </w:rPr>
        <w:t xml:space="preserve">Zitiervorschlag: § 1 BbgGDIG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https://recht.nulegal.eu/gesetze/BbgGDIG/1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