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BbgGDG (Brandenburg) — Einschränkung von Grundrechten</w:t>
      </w:r>
    </w:p>
    <w:p>
      <w:r>
        <w:rPr>
          <w:color w:val="555555"/>
          <w:sz w:val="18"/>
        </w:rPr>
        <w:t xml:space="preserve">Brandenburgisches Gesundheitsdienstgesetz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werden die Grundrechte auf</w:t>
      </w:r>
    </w:p>
    <w:p>
      <w:r>
        <w:t xml:space="preserve">Berufsfreiheit (Artikel 49 Abs. 1 Satz 1 der Verfassung des Landes Brandenburg) durch § 3 Abs. 2 Satz 3, § 7 Abs. 2, § 12 Abs. 2,</w:t>
      </w:r>
    </w:p>
    <w:p>
      <w:r>
        <w:t xml:space="preserve">Unverletzlichkeit der Wohnung (Artikel 13 Abs. 1 des Grundgesetzes, Artikel 15 Abs. 1 der Verfassung des Landes Brandenburg) durch § 13 Abs. 1 und</w:t>
      </w:r>
    </w:p>
    <w:p>
      <w:r>
        <w:t xml:space="preserve">Datenschutz (Artikel 11 Abs. 1 der Verfassung des Landes Brandenburg) durch § 6 Abs. 2 und 3, § 7, § 13 Abs. 1 Satz 1 Nr. 4, § 13 Abs. 1 Satz 2, § 16 Abs. 3 Satz 3 und § 16 Abs. 4 und 5</w:t>
      </w:r>
    </w:p>
    <w:p>
      <w:r>
        <w:t xml:space="preserve">eingeschränkt.</w:t>
      </w:r>
    </w:p>
    <w:p>
      <w:r>
        <w:rPr>
          <w:color w:val="555555"/>
          <w:sz w:val="17"/>
        </w:rPr>
        <w:t xml:space="preserve">Zitiervorschlag: § 17 BbgGDG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