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BbgGDG (Brandenburg) — Ordnungswidrigkeiten</w:t>
      </w:r>
    </w:p>
    <w:p>
      <w:r>
        <w:rPr>
          <w:color w:val="555555"/>
          <w:sz w:val="18"/>
        </w:rPr>
        <w:t xml:space="preserve">Brandenburgisches Gesundheitsdienstgesetz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der Anzeigepflicht nach § 3 Abs. 2 und nach § 12 Abs. 2 nicht, nicht rechtzeitig oder nicht ausreichend nachkommt,</w:t>
      </w:r>
    </w:p>
    <w:p>
      <w:r>
        <w:t xml:space="preserve">entgegen § 13</w:t>
      </w:r>
    </w:p>
    <w:p>
      <w:r>
        <w:t xml:space="preserve">eine Maßnahme der Überwachung nach § 13 oder eine Probennahme nicht duldet,</w:t>
      </w:r>
    </w:p>
    <w:p>
      <w:r>
        <w:t xml:space="preserve">eine Auskunft nicht, nicht vollständig oder nicht rechtzeitig erteilt,</w:t>
      </w:r>
    </w:p>
    <w:p>
      <w:r>
        <w:t xml:space="preserve">Unterlagen nicht, nicht vollständig oder nicht rechtzeitig vorlegt,</w:t>
      </w:r>
    </w:p>
    <w:p>
      <w:r>
        <w:t xml:space="preserve">soweit die Zuwiderhandlung nicht nach anderen Vorschriften mit Strafe bedroht ist.</w:t>
      </w:r>
    </w:p>
    <w:p>
      <w:r>
        <w:t xml:space="preserve">(2) Die Ordnungswidrigkeit nach Absatz 1 kann mit einer Geldbuße bis zu fünftausend Euro geahndet werden. Geldbußen bei Ordnungswidrigkeiten aufgrund anderer gesetzlicher Vorschriften bleiben unberührt.</w:t>
      </w:r>
    </w:p>
    <w:p>
      <w:r>
        <w:t xml:space="preserve">(3) Gegenstände, auf die sich eine Ordnungswidrigkeit nach Absatz 1 bezieht, können eingezogen werden. Die §§ 22 bis 29 des Gesetzes über Ordnungswidrigkeiten finden Anwendung.</w:t>
      </w:r>
    </w:p>
    <w:p>
      <w:r>
        <w:t xml:space="preserve">(4) Zuständige Behörde für die Verfolgung und Ahndung von Ordnungswidrigkeiten nach den Absätzen 1 bis 3 sind die Landkreise und kreisfreien Städte.</w:t>
      </w:r>
    </w:p>
    <w:p>
      <w:r>
        <w:rPr>
          <w:color w:val="555555"/>
          <w:sz w:val="17"/>
        </w:rPr>
        <w:t xml:space="preserve">Zitiervorschlag: § 14 BbgGDG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https://recht.nulegal.eu/gesetze/BbgGDG/14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