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BbgGAV (Brandenburg) — Aufgaben des Gutachterausschusses</w:t>
      </w:r>
    </w:p>
    <w:p>
      <w:r>
        <w:rPr>
          <w:color w:val="555555"/>
          <w:sz w:val="18"/>
        </w:rPr>
        <w:t xml:space="preserve">Brandenburgische Gutachterausschussverordnung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Neben den in anderen Rechtsvorschriften aufgeführten Aufgaben werden dem Gutachterausschuss die in den Absätzen 2 und 3 genannten weiteren Aufgaben übertragen.</w:t>
      </w:r>
    </w:p>
    <w:p>
      <w:r>
        <w:t xml:space="preserve">(2) Der Gutachterausschuss hat Gutachten zu erstatten über die Höhe anderer Vermögensvor- und -nachteile bei städtebaulichen oder sonstigen Maßnahmen im Zusammenhang mit</w:t>
      </w:r>
    </w:p>
    <w:p>
      <w:r>
        <w:t xml:space="preserve">dem Grunderwerb oder mit Bodenordnungsmaßnahmen,</w:t>
      </w:r>
    </w:p>
    <w:p>
      <w:r>
        <w:t xml:space="preserve">der Aufhebung oder Beendigung von Miet- oder Pachtverhältnissen.</w:t>
      </w:r>
    </w:p>
    <w:p>
      <w:r>
        <w:t xml:space="preserve">(3) Der Gutachterausschuss hat auf Antrag der Enteignungsbehörde Zustandsfeststellungen für ein Grundstück oder einen Grundstücksteil einschließlich seiner Bestandteile bei vorzeitiger Besitzeinweisung nach § 116 Absatz 5 des Baugesetzbuches und nach § 8 Absatz 4 des Enteignungsgesetzes des Landes Brandenburg durchzuführen.</w:t>
      </w:r>
    </w:p>
    <w:p>
      <w:r>
        <w:t xml:space="preserve">(4) Der Gutachterausschuss kann</w:t>
      </w:r>
    </w:p>
    <w:p>
      <w:r>
        <w:t xml:space="preserve">Gutachten erstatten über Miet- oder Pachtwerte,</w:t>
      </w:r>
    </w:p>
    <w:p>
      <w:r>
        <w:t xml:space="preserve">Miet- oder Pachtwertübersichten erstellen,</w:t>
      </w:r>
    </w:p>
    <w:p>
      <w:r>
        <w:t xml:space="preserve">bei der Erstellung des Mietspiegels mitwirken.</w:t>
      </w:r>
    </w:p>
    <w:p>
      <w:r>
        <w:t xml:space="preserve">(5) Antragsberechtigt für Gutachten nach den Absätzen 2 und 4 Nummer 1 sind die Berechtigten nach § 193 Absatz 1 des Baugesetzbuches. In den Fällen nach Absatz 2 Nummer 2 und Absatz 4 Nummer 1 ist außerdem der jeweilige Mieter oder Pächter antragsberechtigt.</w:t>
      </w:r>
    </w:p>
    <w:p>
      <w:r>
        <w:rPr>
          <w:color w:val="555555"/>
          <w:sz w:val="17"/>
        </w:rPr>
        <w:t xml:space="preserve">Zitiervorschlag: § 6 BbgGAV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