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BbgGAV (Brandenburg) — Beendigung der Amtszeit</w:t>
      </w:r>
    </w:p>
    <w:p>
      <w:r>
        <w:rPr>
          <w:color w:val="555555"/>
          <w:sz w:val="18"/>
        </w:rPr>
        <w:t xml:space="preserve">Brandenburgische Gutachterausschussverordnung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für Inneres zuständige Ministerium hat einen Gutachter abzuberufen, wenn die Voraussetzungen für die Bestellung entfallen sind.</w:t>
      </w:r>
    </w:p>
    <w:p>
      <w:r>
        <w:t xml:space="preserve">(2) Das für Inneres zuständige Ministerium kann einen Gutachter abberufen, wenn</w:t>
      </w:r>
    </w:p>
    <w:p>
      <w:r>
        <w:t xml:space="preserve">er gegen die Vorschriften des § 3 Absatz 3 oder Absatz 4 verstoßen hat oder</w:t>
      </w:r>
    </w:p>
    <w:p>
      <w:r>
        <w:t xml:space="preserve">ein wichtiger Grund im Sinne von § 1 Absatz 1 des Verwaltungsverfahrensgesetzes für das Land Brandenburg in Verbindung mit § 86 des Verwaltungsverfahrensgesetzes vorliegt.</w:t>
      </w:r>
    </w:p>
    <w:p>
      <w:r>
        <w:t xml:space="preserve">(3) Ein nach § 2 Absatz 3 bestellter Gutachter ist auch abzuberufen, wenn er nicht mehr bei dem zuständigen</w:t>
      </w:r>
    </w:p>
    <w:p>
      <w:r>
        <w:t xml:space="preserve">Finanzamt für die steuerliche Bewertung des Grundbesitzes zuständig ist.</w:t>
      </w:r>
    </w:p>
    <w:p>
      <w:r>
        <w:t xml:space="preserve">(4) Die Amtszeit eines Gutachters endet ohne Abberufung mit Vollendung des 73. Lebensjahres oder durch Niederlegung des Amtes. Die Niederlegung ist schriftlich oder elektronisch zu erklären.</w:t>
      </w:r>
    </w:p>
    <w:p>
      <w:r>
        <w:rPr>
          <w:color w:val="555555"/>
          <w:sz w:val="17"/>
        </w:rPr>
        <w:t xml:space="preserve">Zitiervorschlag: § 5 BbgGAV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