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BbgGAV (Brandenburg) — Sachkunde, Unabhängigkeit und Pflichten der Gutachter</w:t>
      </w:r>
    </w:p>
    <w:p>
      <w:r>
        <w:rPr>
          <w:color w:val="555555"/>
          <w:sz w:val="18"/>
        </w:rPr>
        <w:t xml:space="preserve">Brandenburgische Gutachterausschussverordnung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Gutachter müssen die für die Wertermittlung von Grundstücken oder entsprechende Wertermittlungen erforderliche Sachkunde besitzen und sollen in diesen Wertermittlungen erfahren sein; unter ihnen sollen sich Personen mit besonderer Sachkunde für die verschiedenen Grundstücksarten und Gebietsteile im Zuständigkeitsbereich des Gutachterausschusses befinden.</w:t>
      </w:r>
    </w:p>
    <w:p>
      <w:r>
        <w:t xml:space="preserve">(2) Die Gutachter haben ihre Gutachten unparteiisch und nach bestem Wissen und Gewissen abzugeben. Sie sind an Weisungen nicht gebunden.</w:t>
      </w:r>
    </w:p>
    <w:p>
      <w:r>
        <w:t xml:space="preserve">(3) Die Gutachter sind verpflichtet, die durch ihre Tätigkeit zu ihrer Kenntnis gelangenden persönlichen und wirtschaftlichen Verhältnisse der Beteiligten, auch nach Beendigung ihrer Tätigkeit als Mitglied des Gutachterausschusses, geheim zu halten.</w:t>
      </w:r>
    </w:p>
    <w:p>
      <w:r>
        <w:t xml:space="preserve">(4) Für den Ausschluss von Gutachtern gilt § 1 Absatz 1 des Verwaltungsverfahrensgesetzes für das Land Brandenburg in Verbindung mit § 20 des Verwaltungsverfahrensgesetzes entsprechend.</w:t>
      </w:r>
    </w:p>
    <w:p>
      <w:r>
        <w:rPr>
          <w:color w:val="555555"/>
          <w:sz w:val="17"/>
        </w:rPr>
        <w:t xml:space="preserve">Zitiervorschlag: § 3 BbgGAV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