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BbgGAV (Brandenburg) — Inkrafttreten, Außerkrafttreten</w:t>
      </w:r>
    </w:p>
    <w:p>
      <w:r>
        <w:rPr>
          <w:color w:val="555555"/>
          <w:sz w:val="18"/>
        </w:rPr>
        <w:t xml:space="preserve">Brandenburgische Gutachterausschussverordnung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Gutachterausschussverordnung vom 29. Februar 2000 ( GVBl. II S. 61), die zuletzt durch Artikel 39 des Gesetzes vom 23. September 2008 ( GVBl. I S. 202, 211) geändert worden ist, außer Kraft.</w:t>
      </w:r>
    </w:p>
    <w:p>
      <w:r>
        <w:t xml:space="preserve">Potsdam, den 12. Mai 2010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Der Minister des Innern</w:t>
      </w:r>
    </w:p>
    <w:p>
      <w:r>
        <w:t xml:space="preserve">Rainer Speer</w:t>
      </w:r>
    </w:p>
    <w:p>
      <w:r>
        <w:rPr>
          <w:color w:val="555555"/>
          <w:sz w:val="17"/>
        </w:rPr>
        <w:t xml:space="preserve">Zitiervorschlag: § 28 BbgGAV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https://recht.nulegal.eu/gesetze/BbgGAV/28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