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BbgGAV (Brandenburg) — Kosten des Oberen Gutachterausschusses</w:t>
      </w:r>
    </w:p>
    <w:p>
      <w:r>
        <w:rPr>
          <w:color w:val="555555"/>
          <w:sz w:val="18"/>
        </w:rPr>
        <w:t xml:space="preserve">Brandenburgische Gutachterausschussverordnung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Kosten des Oberen Gutachterausschusses und seiner Geschäftsstelle trägt das Land. § 21 Absatz 2 gilt entsprechend.</w:t>
      </w:r>
    </w:p>
    <w:p>
      <w:r>
        <w:rPr>
          <w:color w:val="555555"/>
          <w:sz w:val="17"/>
        </w:rPr>
        <w:t xml:space="preserve">Zitiervorschlag: § 24 BbgGAV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https://recht.nulegal.eu/gesetze/BbgGAV/24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