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BbgGAV (Brandenburg) — Kosten des Gutachterausschusses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Kosten des Gutachterausschusses und seiner Geschäftsstelle trägt die Gebietskörperschaft oder tragen die Gebietskörperschaften, für deren Bereich der Gutachterausschuss gebildet ist.</w:t>
      </w:r>
    </w:p>
    <w:p>
      <w:r>
        <w:t xml:space="preserve">(2) Für die Tätigkeit des Gutachterausschusses werden Gebühren und Auslagen nach dem Gebührengesetz für das Land Brandenburg in Verbindung mit der Gutachterausschuss-Gebührenordnung erhoben. Die Gebühren und Auslagen stehen dem jeweiligen Kostenträger nach Absatz 1 zu. Sie werden von der Geschäftsstelle festgesetzt.</w:t>
      </w:r>
    </w:p>
    <w:p>
      <w:r>
        <w:t xml:space="preserve">(3) Kosten des Gutachterausschusses und seiner Geschäftsstelle, die nicht von den erhobenen Gebühren und Auslagen gedeckt werden, werden durch das Land erstattet.</w:t>
      </w:r>
    </w:p>
    <w:p>
      <w:r>
        <w:rPr>
          <w:color w:val="555555"/>
          <w:sz w:val="17"/>
        </w:rPr>
        <w:t xml:space="preserve">Zitiervorschlag: § 21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