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BbgGAV (Brandenburg) — Verfahrensgrundsätze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Gutachterausschuss berät und beschließt in nicht öffentlicher Sitzung oder mittels geeigneter Fernkommunikationsmittel. Er beschließt mit Stimmenmehrheit; die Beschlüsse sind aktenkundig zu machen. Abweichende Auffassungen von Mitgliedern des Gutachterausschusses sind auf Verlangen aktenkundig zu machen.</w:t>
      </w:r>
    </w:p>
    <w:p>
      <w:r>
        <w:t xml:space="preserve">(2) Der Erstattung von Gutachten soll eine Ortsbesichtigung durch den Gutachterausschuss vorausgehen. Die Gutachten sind zu begründen. Die Sachverhalte, auf denen die Wertermittlung beruht, sind darzulegen.</w:t>
      </w:r>
    </w:p>
    <w:p>
      <w:r>
        <w:rPr>
          <w:color w:val="555555"/>
          <w:sz w:val="17"/>
        </w:rPr>
        <w:t xml:space="preserve">Zitiervorschlag: § 18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