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BbgGAV (Brandenburg) — Zusammenarbeit der Gutachterausschüsse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Daten der Kaufpreissammlung sind den anderen Gutachterausschüssen zugänglich zu machen, soweit es zur Erfüllung ihrer Aufgaben erforderlich ist.</w:t>
      </w:r>
    </w:p>
    <w:p>
      <w:r>
        <w:t xml:space="preserve">(2) Die Gutachterausschüsse sind verpflichtet, dem Oberen Gutachterausschuss die Daten der Kaufpreissammlung zugänglich zu machen und für die Wahrnehmung seiner Aufgaben alle in Betracht kommenden Daten und Unterlagen aufzubereiten und vorzulegen.</w:t>
      </w:r>
    </w:p>
    <w:p>
      <w:r>
        <w:rPr>
          <w:color w:val="555555"/>
          <w:sz w:val="17"/>
        </w:rPr>
        <w:t xml:space="preserve">Zitiervorschlag: § 15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