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BbgGAV (Brandenburg) — Auskünfte aus der Kaufpreissammlung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Anonymisierte Auskünfte aus der Kaufpreissammlung sind zu erteilen, wenn ein berechtigtes Interesse dargelegt wird.</w:t>
      </w:r>
    </w:p>
    <w:p>
      <w:r>
        <w:t xml:space="preserve">(2) Grundstücksbezogene Auskünfte aus der Kaufpreissammlung erhalten</w:t>
      </w:r>
    </w:p>
    <w:p>
      <w:r>
        <w:t xml:space="preserve">öffentliche Stellen nach § 1 Absatz 1 des Bundesdatenschutzgesetzes und nach § 2 Absatz 1 des Brandenburgischen Datenschutzgesetzes,</w:t>
      </w:r>
    </w:p>
    <w:p>
      <w:r>
        <w:t xml:space="preserve">öffentlich bestellte und vereidigte Sachverständige für Grundstückswertermittlung und</w:t>
      </w:r>
    </w:p>
    <w:p>
      <w:r>
        <w:t xml:space="preserve">Sachverständige für Grundstückswertermittlung, die durch eine nach</w:t>
      </w:r>
    </w:p>
    <w:p>
      <w:r>
        <w:t xml:space="preserve">DIN EN ISO/IEC 17024, Ausgabe November 2012, akkreditierte Zertifizierungsstelle zertifiziert wurden ,</w:t>
      </w:r>
    </w:p>
    <w:p>
      <w:r>
        <w:t xml:space="preserve">wenn die Auskunft zur Wertermittlung erforderlich ist.</w:t>
      </w:r>
    </w:p>
    <w:p>
      <w:r>
        <w:t xml:space="preserve">(3) Die übermittelten Daten dürfen ausschließlich für den Zweck verwendet werden, zu dessen Erfüllung sie übermittelt werden. Sie dürfen dabei anonymisiert weitergegeben werden, sofern der Empfänger ein berechtigtes Interesse hat.</w:t>
      </w:r>
    </w:p>
    <w:p>
      <w:r>
        <w:rPr>
          <w:color w:val="555555"/>
          <w:sz w:val="17"/>
        </w:rPr>
        <w:t xml:space="preserve">Zitiervorschlag: § 11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