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BbgGAV (Brandenburg) — Geheimhaltung</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Kaufpreissammlung ist einschließlich der Verträge, Beschlüsse und Unterlagen geheim zu halten. Sie darf nur von den Mitgliedern des Gutachterausschusses und den Bediensteten der Geschäftsstelle zur Erfüllung ihrer Aufgaben eingesehen werden.</w:t>
      </w:r>
    </w:p>
    <w:p>
      <w:r>
        <w:t xml:space="preserve">(2) Absatz 1 gilt für erstattete Gutachten entsprechend.</w:t>
      </w:r>
    </w:p>
    <w:p>
      <w:r>
        <w:t xml:space="preserve">(3) Daten aus der Kaufpreissammlung dürfen in Gutachten angegeben werden, soweit es zu deren Begründung erforderlich ist, personenbezogene Daten jedoch nur, wenn kein Grund zu der Annahme besteht, dass dadurch schutzwürdige Geheimhaltungsinteressen der Betroffenen beeinträchtigt werden.</w:t>
      </w:r>
    </w:p>
    <w:p>
      <w:r>
        <w:rPr>
          <w:color w:val="555555"/>
          <w:sz w:val="17"/>
        </w:rPr>
        <w:t xml:space="preserve">Zitiervorschlag: § 10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