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BbgGAPUV (Brandenburg) — Inkrafttreten, Außerkrafttreten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mit Wirkung vom 21. Januar 2023 in Kraft.</w:t>
      </w:r>
    </w:p>
    <w:p>
      <w:r>
        <w:t xml:space="preserve">(2) Die Brandenburgische Verordnung zur Umsetzung der Gemeinsamen Agrarpolitik wird aufgehoben.</w:t>
      </w:r>
    </w:p>
    <w:p>
      <w:r>
        <w:t xml:space="preserve">(3) Die Cross-Compliance Erosionseinstufungsverordnung wird aufgehoben.</w:t>
      </w:r>
    </w:p>
    <w:p>
      <w:r>
        <w:t xml:space="preserve">(4) Die Kartoffelstärkezuständigkeits-Verordnung vom 18. September 1996 (GVBl. II S. 762) wird aufgehoben.</w:t>
      </w:r>
    </w:p>
    <w:p>
      <w:r>
        <w:t xml:space="preserve">Potsdam, den 11. Mai 2023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8 BbgGAPUV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