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BbgGAPUV (Brandenburg) — Übergangsregelungen</w:t>
      </w:r>
    </w:p>
    <w:p>
      <w:r>
        <w:rPr>
          <w:color w:val="555555"/>
          <w:sz w:val="18"/>
        </w:rPr>
        <w:t xml:space="preserve">Brandenburgische GAP-Umsetzungs-Verordnung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Brandenburgische Verordnung zur Umsetzung der Gemeinsamen Agrarpolitik vom 30. September 2005 ( GVBl. II S. 509), die zuletzt durch die Verordnung vom 28. Oktober 2015 (GVBl. II Nr. 53) geändert wurde, ist auf Beihilfeanträge, die sich auf vor dem 1. Januar 2023 beginnende Antragsjahre beziehen, weiter anzuwenden.</w:t>
      </w:r>
    </w:p>
    <w:p>
      <w:r>
        <w:t xml:space="preserve">(2) Die Cross-Compliance Erosionseinstufungsverordnung vom 28. Oktober 2015 (GVBl. II Nr. 53) ist auf Beihilfeanträge, die sich auf vor dem 1. Januar 2023 beginnende Antragsjahre beziehen, weiter anzuwenden.</w:t>
      </w:r>
    </w:p>
    <w:p>
      <w:r>
        <w:rPr>
          <w:color w:val="555555"/>
          <w:sz w:val="17"/>
        </w:rPr>
        <w:t xml:space="preserve">Zitiervorschlag: § 7 BbgGAPUV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https://recht.nulegal.eu/gesetze/BbgGAPUV/7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