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BbgGAPUV (Brandenburg) — Ergebnisorientierte extensive Bewirtschaftung von Dauergrünlandflächen mit Nachweis von mindestens vier regionalen Kennarten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Begünstigungsfähig für die Öko-Regelung gemäß § 20 Absatz 1 Nummer 5 des GAP-Direktzahlungen-Gesetzes sind förderfähige Dauergrünlandflächen in der Region Brandenburg und Berlin, auf denen das Vorkommen von mindestens vier der in Anlage 4 aufgeführten Pflanzenarten nachgewiesen wird.</w:t>
      </w:r>
    </w:p>
    <w:p>
      <w:r>
        <w:t xml:space="preserve">(2) Der Nachweis der Kennarten oder Kennartengruppen je förderfähiger Dauergrünlandfläche kann erfolgen durch</w:t>
      </w:r>
    </w:p>
    <w:p>
      <w:r>
        <w:t xml:space="preserve">die Erstellung georeferenzierter Fotos mit einem von der für Landwirtschaft zuständigen obersten Landesbehörde vorgegebenen Verfahren oder, sofern kein Verfahren zur Erstellung georeferenzierter Fotos vorgegeben ist,</w:t>
      </w:r>
    </w:p>
    <w:p>
      <w:r>
        <w:t xml:space="preserve">die Transekt-Methode nach Vorgabe der für Landwirtschaft zuständigen obersten Landesbehörde.</w:t>
      </w:r>
    </w:p>
    <w:p>
      <w:r>
        <w:rPr>
          <w:color w:val="555555"/>
          <w:sz w:val="17"/>
        </w:rPr>
        <w:t xml:space="preserve">Zitiervorschlag: § 5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