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BbgGAPUV (Brandenburg) — Einteilung landwirtschaftlicher Flächen nach dem Grad der Erosionsgefährdung durch Wasser und Wind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Einteilung landwirtschaftlicher Parzellen nach dem Grad der Erosionsgefährdung gemäß § 16 Absatz 1 sowie der Anlagen 3 und 4 der GAP-Konditionalitäten-Verordnung erfolgt nach Maßgabe der in Anlage 3 beschriebenen Methodik.</w:t>
      </w:r>
    </w:p>
    <w:p>
      <w:r>
        <w:t xml:space="preserve">(2) Ein Feldblock kann nur als Ganzes einer Gefährdungsklasse zugeordnet werden.</w:t>
      </w:r>
    </w:p>
    <w:p>
      <w:r>
        <w:t xml:space="preserve">(3) Die als erosionsgefährdet eingestuften landwirtschaftlichen Parzellen sind in Anlage 2 ausgewiesen und können im digitalen Feldblockkataster des Landes Brandenburg ( https://maps.brandenburg.de/WebOffice/ ) eingesehen werden.</w:t>
      </w:r>
    </w:p>
    <w:p>
      <w:r>
        <w:t xml:space="preserve">(4) Abweichend von § 16 Absatz 2 bis 4 der GAP-Konditionalitäten-Verordnung ist das Pflügen einer Ackerfläche, die der Erosionsgefährdungsklasse K Wasser1 , K Wasser2 oder K Wind zugeordnet ist, zulässig, wenn</w:t>
      </w:r>
    </w:p>
    <w:p>
      <w:r>
        <w:t xml:space="preserve">unmittelbar nach der Ernte der Hauptkultur im Vorjahr eine Bodenbedeckung wie folgt sichergestellt wird durch:</w:t>
      </w:r>
    </w:p>
    <w:p>
      <w:r>
        <w:t xml:space="preserve">Untersaaten,</w:t>
      </w:r>
    </w:p>
    <w:p>
      <w:r>
        <w:t xml:space="preserve">Zwischenfrüchte,</w:t>
      </w:r>
    </w:p>
    <w:p>
      <w:r>
        <w:t xml:space="preserve">Stoppelbrache von Körnerleguminosen oder Getreide (Mais ausgenommen),</w:t>
      </w:r>
    </w:p>
    <w:p>
      <w:r>
        <w:t xml:space="preserve">auflaufendes Ausfallgetreide oder</w:t>
      </w:r>
    </w:p>
    <w:p>
      <w:r>
        <w:t xml:space="preserve">eine Begrünung, die nicht unter Nummer a bis d aufgeführt ist,</w:t>
      </w:r>
    </w:p>
    <w:p>
      <w:r>
        <w:t xml:space="preserve">mindestens ein Erosionsschutzstreifen quer zur Bearbeitungsrichtung angelegt wird, wobei jeder Erosionsschutzstreifen der Breite einer praxisüblichen Arbeitsbreite entsprechen muss, oder</w:t>
      </w:r>
    </w:p>
    <w:p>
      <w:r>
        <w:t xml:space="preserve">ein Abdecken der Fläche mit einer Folie, einem Vlies, einem engmaschigen Netz oder einer in der erosionsmindernden Wirkung gleichwertigen Abdeckung, die bis zum Reihenschluss auf der Fläche verbleibt, erfolgt.</w:t>
      </w:r>
    </w:p>
    <w:p>
      <w:r>
        <w:t xml:space="preserve">(5) Eine flache, nichtwendende Bodenbearbeitung zur Anregung des Auflaufens von Ausfallgetreide ist zur Erfüllung der abweichenden Anforderung nach Absatz 4 Nummer 1 Buchstabe d zulässig.</w:t>
      </w:r>
    </w:p>
    <w:p>
      <w:r>
        <w:rPr>
          <w:color w:val="555555"/>
          <w:sz w:val="17"/>
        </w:rPr>
        <w:t xml:space="preserve">Zitiervorschlag: § 4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