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BbgGAPUV (Brandenburg) — Festlegung der Gebietskulisse Feuchtgebiete und Moore</w:t>
      </w:r>
    </w:p>
    <w:p>
      <w:r>
        <w:rPr>
          <w:color w:val="555555"/>
          <w:sz w:val="18"/>
        </w:rPr>
        <w:t xml:space="preserve">Brandenburgische GAP-Umsetzungs-Verordnung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Ausweisung der Gebietskulisse „Feuchtgebiete und Moore“ erfolgt gemäß § 11 Absatz 1 bis 3 der GAP-Konditionalitäten-Verordnung.</w:t>
      </w:r>
    </w:p>
    <w:p>
      <w:r>
        <w:t xml:space="preserve">(2) Die Mindestgröße für die Aufnahme von zusammenhängenden Flächen in die Gebietskulisse „Feuchtgebiete und Moore“ beträgt 0,5 Hektar.</w:t>
      </w:r>
    </w:p>
    <w:p>
      <w:r>
        <w:t xml:space="preserve">(3) Die Gebietskulisse „Feuchtgebiete und Moore“ ist in der Anlage 1 abgebildet und kann im digitalen Feldblockkataster des Landes Brandenburg ( https://maps.brandenburg.de/WebOffice/ ) eingesehen werden.</w:t>
      </w:r>
    </w:p>
    <w:p>
      <w:r>
        <w:t xml:space="preserve">(4) Liegen nur Teile einer landwirtschaftlichen Parzelle in der Gebietskulisse, gelten die für Feuchtgebiete und Moore bestehenden Bewirtschaftungsbeschränkungen nur für diese Teile.</w:t>
      </w:r>
    </w:p>
    <w:p>
      <w:r>
        <w:rPr>
          <w:color w:val="555555"/>
          <w:sz w:val="17"/>
        </w:rPr>
        <w:t xml:space="preserve">Zitiervorschlag: § 3 BbgGAPUV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https://recht.nulegal.eu/gesetze/BbgGAPUV/3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