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BbgGAPUV (Brandenburg) — System zur Identifizierung landwirtschaftlicher Parzellen</w:t>
      </w:r>
    </w:p>
    <w:p>
      <w:r>
        <w:rPr>
          <w:color w:val="555555"/>
          <w:sz w:val="18"/>
        </w:rPr>
        <w:t xml:space="preserve">Brandenburgische GAP-Umsetzungs-Verordnung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System zur Identifizierung landwirtschaftlicher Parzellen stützt sich auf die in § 5 Absatz 1 Nummer 2 der GAP-InVeKoS-Verordnung genannte Referenzparzelle „Feldblock“.</w:t>
      </w:r>
    </w:p>
    <w:p>
      <w:r>
        <w:rPr>
          <w:color w:val="555555"/>
          <w:sz w:val="17"/>
        </w:rPr>
        <w:t xml:space="preserve">Zitiervorschlag: § 1 BbgGAPUV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https://recht.nulegal.eu/gesetze/BbgGAPUV/1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