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BbgGAGebO (Brandenburg) — Oberer Gutachterausschuss</w:t>
      </w:r>
    </w:p>
    <w:p>
      <w:r>
        <w:rPr>
          <w:color w:val="555555"/>
          <w:sz w:val="18"/>
        </w:rPr>
        <w:t xml:space="preserve">Brandenburgische Gutachterausschuss-Gebührenordnung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 §§ 1 bis 4 sind entsprechend für Amtshandlungen des Oberen Gutachterausschusses und dessen Geschäftsstelle anzuwenden.</w:t>
      </w:r>
    </w:p>
    <w:p>
      <w:r>
        <w:rPr>
          <w:color w:val="555555"/>
          <w:sz w:val="17"/>
        </w:rPr>
        <w:t xml:space="preserve">Zitiervorschlag: § 5 BbgGAGebO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https://recht.nulegal.eu/gesetze/BbgGAGebO/5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