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BbgGAGebO (Brandenburg) — Anwendungsbereich</w:t>
      </w:r>
    </w:p>
    <w:p>
      <w:r>
        <w:rPr>
          <w:color w:val="555555"/>
          <w:sz w:val="18"/>
        </w:rPr>
        <w:t xml:space="preserve">Brandenburgische Gutachterausschuss-Gebührenordnung</w:t>
      </w:r>
    </w:p>
    <w:p>
      <w:r>
        <w:rPr>
          <w:color w:val="555555"/>
          <w:sz w:val="18"/>
        </w:rPr>
        <w:t xml:space="preserve">Landesrecht Brandenburg</w:t>
      </w:r>
    </w:p>
    <w:p>
      <w:r>
        <w:rPr>
          <w:color w:val="555555"/>
          <w:sz w:val="18"/>
        </w:rPr>
        <w:t xml:space="preserve">Stand: 21.08.2026 (konsolidierte Textfassung, kein amtliches Inkrafttretensdatum)</w:t>
      </w:r>
    </w:p>
    <w:p>
      <w:r>
        <w:t xml:space="preserve">(1) Für Amtshandlungen der Gutachterausschüsse für Grundstückswerte und deren Geschäftsstellen werden Gebühren und Auslagen nach dieser Verordnung und dem Gebührentarif in der Anlage zu dieser Verordnung erhoben. Der Gebührentarif ist Bestandteil dieser Verordnung.</w:t>
      </w:r>
    </w:p>
    <w:p>
      <w:r>
        <w:t xml:space="preserve">(2) Diese Verordnung ist nicht anzuwenden, wenn der Gutachterausschuss oder dessen Geschäftsstelle von dem Gericht oder der Staatsanwaltschaft zu Beweiszwecken herangezogen wird.</w:t>
      </w:r>
    </w:p>
    <w:p>
      <w:r>
        <w:rPr>
          <w:color w:val="555555"/>
          <w:sz w:val="17"/>
        </w:rPr>
        <w:t xml:space="preserve">Zitiervorschlag: § 1 BbgGAGebO (Brandenburg)</w:t>
      </w:r>
    </w:p>
    <w:p>
      <w:r>
        <w:rPr>
          <w:color w:val="555555"/>
          <w:sz w:val="17"/>
        </w:rPr>
        <w:t xml:space="preserve">Quelle: bravors, abgerufen 21.08.2026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https://recht.nulegal.eu/gesetze/BbgGAGebO/1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