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BbgFoVGDV (Brandenburg) — Identitätssicherung von Ausgangsmaterial</w:t>
      </w:r>
    </w:p>
    <w:p>
      <w:r>
        <w:rPr>
          <w:color w:val="555555"/>
          <w:sz w:val="18"/>
        </w:rPr>
        <w:t xml:space="preserve">Verordnung zur Durchführung des Forstvermehrungsgutgesetzes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Forstliches Vermehrungsgut gemäß § 2 Nr. 1 des</w:t>
      </w:r>
    </w:p>
    <w:p>
      <w:r>
        <w:t xml:space="preserve">Forstvermehrungsgutgesetzes darf nur unter Aufsicht des Wald- oder</w:t>
      </w:r>
    </w:p>
    <w:p>
      <w:r>
        <w:t xml:space="preserve">Baumbesitzers oder des sonstigen Nutzungsberechtigten oder seines Beauftragten</w:t>
      </w:r>
    </w:p>
    <w:p>
      <w:r>
        <w:t xml:space="preserve">unmittelbar vom Ausgangsmaterial erzeugt werden (§ 7 Abs. 4 Satz 1 Nr. 3</w:t>
      </w:r>
    </w:p>
    <w:p>
      <w:r>
        <w:t xml:space="preserve">des Forstvermehrungsgutgesetzes).</w:t>
      </w:r>
    </w:p>
    <w:p>
      <w:r>
        <w:t xml:space="preserve">(2) Forstliches Vermehrungsgut ist nach der Erzeugung unmittelbar vom</w:t>
      </w:r>
    </w:p>
    <w:p>
      <w:r>
        <w:t xml:space="preserve">Ausgangsmaterial und vor dem Verbringen an den ersten Bestimmungsort über</w:t>
      </w:r>
    </w:p>
    <w:p>
      <w:r>
        <w:t xml:space="preserve">Sammelstellen der Wald- oder Baumbesitzer oder der forstwirtschaftlichen</w:t>
      </w:r>
    </w:p>
    <w:p>
      <w:r>
        <w:t xml:space="preserve">Zusammenschlüsse zu leiten (§ 7 Abs. 4 Satz 1 Nr. 1 des</w:t>
      </w:r>
    </w:p>
    <w:p>
      <w:r>
        <w:t xml:space="preserve">Forstvermehrungsgutgesetzes).</w:t>
      </w:r>
    </w:p>
    <w:p>
      <w:r>
        <w:t xml:space="preserve">(3) Zapfen der nachstehenden Baumarten dürfen zur Verwendung als</w:t>
      </w:r>
    </w:p>
    <w:p>
      <w:r>
        <w:t xml:space="preserve">Zierzapfen jeweils nur zu den nachstehenden Zeiten geerntet werden (§ 7</w:t>
      </w:r>
    </w:p>
    <w:p>
      <w:r>
        <w:t xml:space="preserve">Abs. 4 Satz 1 Nr. 2 des Forstvermehrungsgutgesetzes):</w:t>
      </w:r>
    </w:p>
    <w:p>
      <w:r>
        <w:t xml:space="preserve">Zapfen der Japanischen Lärche und Europäischen Lärche vom</w:t>
      </w:r>
    </w:p>
    <w:p>
      <w:r>
        <w:t xml:space="preserve">1. Mai bis zum 31. August,</w:t>
      </w:r>
    </w:p>
    <w:p>
      <w:r>
        <w:t xml:space="preserve">Zapfen der Douglasie vom 1. November bis zum 31. Mai,</w:t>
      </w:r>
    </w:p>
    <w:p>
      <w:r>
        <w:t xml:space="preserve">Zapfen der übrigen Nadelbäume vom 1. April bis zum 30. September</w:t>
      </w:r>
    </w:p>
    <w:p>
      <w:r>
        <w:t xml:space="preserve">eines jeden Jahres.</w:t>
      </w:r>
    </w:p>
    <w:p>
      <w:r>
        <w:t xml:space="preserve">(4) Die Kontrollstelle für forstliches Vermehrungsgut kann im</w:t>
      </w:r>
    </w:p>
    <w:p>
      <w:r>
        <w:t xml:space="preserve">Einzelfall auf Antrag Ausnahmen von Absatz 3 zulassen, wenn ein wesentliches</w:t>
      </w:r>
    </w:p>
    <w:p>
      <w:r>
        <w:t xml:space="preserve">wirtschaftliches Interesse besteht und die Gewähr dafür gegeben ist,</w:t>
      </w:r>
    </w:p>
    <w:p>
      <w:r>
        <w:t xml:space="preserve">dass die Zapfen nicht als Vermehrungsgut in den Verkehr gebracht werden.</w:t>
      </w:r>
    </w:p>
    <w:p>
      <w:r>
        <w:rPr>
          <w:color w:val="555555"/>
          <w:sz w:val="17"/>
        </w:rPr>
        <w:t xml:space="preserve">Zitiervorschlag: § 2 BbgFoVGDV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https://recht.nulegal.eu/gesetze/BbgFoVGDV/2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