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BbgFoVGDV (Brandenburg) — Zuständigkeit</w:t>
      </w:r>
    </w:p>
    <w:p>
      <w:r>
        <w:rPr>
          <w:color w:val="555555"/>
          <w:sz w:val="18"/>
        </w:rPr>
        <w:t xml:space="preserve">Verordnung zur Durchführung des Forstvermehrungsgutgesetzes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</w:t>
      </w:r>
    </w:p>
    <w:p>
      <w:r>
        <w:t xml:space="preserve">Der Landesbetrieb Forst Brandenburg als untere Forstbehörde ist als Kontrollstelle für forstliches Vermehrungsgut sachlich</w:t>
      </w:r>
    </w:p>
    <w:p>
      <w:r>
        <w:t xml:space="preserve">zuständig für folgende Verwaltungsaufgaben:</w:t>
      </w:r>
    </w:p>
    <w:p>
      <w:r>
        <w:t xml:space="preserve">Zulassung von Ausgangsmaterial sowie Widerruf der Zulassung von</w:t>
      </w:r>
    </w:p>
    <w:p>
      <w:r>
        <w:t xml:space="preserve">Ausgangsmaterial (§ 4 Abs. 4 und 5 des Forstvermehrungsgutgesetzes),</w:t>
      </w:r>
    </w:p>
    <w:p>
      <w:r>
        <w:t xml:space="preserve">Zuordnung von Zulassungseinheiten zu Herkunftsgebieten (§ 5 Abs. 2</w:t>
      </w:r>
    </w:p>
    <w:p>
      <w:r>
        <w:t xml:space="preserve">des Forstvermehrungsgutgesetzes),</w:t>
      </w:r>
    </w:p>
    <w:p>
      <w:r>
        <w:t xml:space="preserve">Führung des Registers über zugelassenes Ausgangsmaterial und</w:t>
      </w:r>
    </w:p>
    <w:p>
      <w:r>
        <w:t xml:space="preserve">Mitteilung der Registereintragungen und jeweiligen Änderungen (§ 6</w:t>
      </w:r>
    </w:p>
    <w:p>
      <w:r>
        <w:t xml:space="preserve">Abs. 1 des Forstvermehrungsgutgesetzes),</w:t>
      </w:r>
    </w:p>
    <w:p>
      <w:r>
        <w:t xml:space="preserve">Entgegennahme der Anzeige bei Mischung von forstlichem Saatgut (§ 9</w:t>
      </w:r>
    </w:p>
    <w:p>
      <w:r>
        <w:t xml:space="preserve">Abs. 2 des Forstvermehrungsgutgesetzes in Verbindung mit § 3 der</w:t>
      </w:r>
    </w:p>
    <w:p>
      <w:r>
        <w:t xml:space="preserve">Forstvermehrungsgut-Durchführungsverordnung),</w:t>
      </w:r>
    </w:p>
    <w:p>
      <w:r>
        <w:t xml:space="preserve">Führung einer Liste der von jeder Zulassungseinheit erzeugten Partie</w:t>
      </w:r>
    </w:p>
    <w:p>
      <w:r>
        <w:t xml:space="preserve">(§ 8 Abs. 2 Satz 2 des Forstvermehrungsgutgesetzes),</w:t>
      </w:r>
    </w:p>
    <w:p>
      <w:r>
        <w:t xml:space="preserve">Ausstellen von Mischstammzertifikaten (§ 9 Abs. 2 des</w:t>
      </w:r>
    </w:p>
    <w:p>
      <w:r>
        <w:t xml:space="preserve">Forstvermehrungsgutgesetzes),</w:t>
      </w:r>
    </w:p>
    <w:p>
      <w:r>
        <w:t xml:space="preserve">Entgegennahme des Nachweises für die Ausfuhr von forstlichem</w:t>
      </w:r>
    </w:p>
    <w:p>
      <w:r>
        <w:t xml:space="preserve">Vermehrungsgut (§ 16 Abs. 1 des Forstvermehrungsgutgesetzes),</w:t>
      </w:r>
    </w:p>
    <w:p>
      <w:r>
        <w:t xml:space="preserve">Ausstellen von Stammzertifikaten auf Antrag für Vermehrungsgut, das</w:t>
      </w:r>
    </w:p>
    <w:p>
      <w:r>
        <w:t xml:space="preserve">für die Ausfuhr bestimmt ist (§ 16 Abs. 2 des</w:t>
      </w:r>
    </w:p>
    <w:p>
      <w:r>
        <w:t xml:space="preserve">Forstvermehrungsgutgesetzes),</w:t>
      </w:r>
    </w:p>
    <w:p>
      <w:r>
        <w:t xml:space="preserve">Entgegennahme der Anzeige über die Aufnahme oder Beendigung des</w:t>
      </w:r>
    </w:p>
    <w:p>
      <w:r>
        <w:t xml:space="preserve">Betriebes von Forstsamen- oder Forstpflanzenbetrieben sowie den Wechsel der</w:t>
      </w:r>
    </w:p>
    <w:p>
      <w:r>
        <w:t xml:space="preserve">verantwortlichen Person (§ 17 Abs. 1 Satz 1 und 2 des</w:t>
      </w:r>
    </w:p>
    <w:p>
      <w:r>
        <w:t xml:space="preserve">Forstvermehrungsgutgesetzes),</w:t>
      </w:r>
    </w:p>
    <w:p>
      <w:r>
        <w:t xml:space="preserve">Mitteilung der Aufnahme, Beendigung oder Untersagung der Fortführung</w:t>
      </w:r>
    </w:p>
    <w:p>
      <w:r>
        <w:t xml:space="preserve">eines Forstsamen- oder Forstpflanzenbetriebes an die Bundesanstalt (§ 17</w:t>
      </w:r>
    </w:p>
    <w:p>
      <w:r>
        <w:t xml:space="preserve">Abs. 1 Satz 3 des Forstvermehrungsgutgesetzes),</w:t>
      </w:r>
    </w:p>
    <w:p>
      <w:r>
        <w:t xml:space="preserve">Gestattung der gemeinsamen Buchführung bei einheitlich geführten</w:t>
      </w:r>
    </w:p>
    <w:p>
      <w:r>
        <w:t xml:space="preserve">Betrieben eines Inhabers (§ 17 Abs. 2 Satz 6 des</w:t>
      </w:r>
    </w:p>
    <w:p>
      <w:r>
        <w:t xml:space="preserve">Forstvermehrungsgutgesetzes),</w:t>
      </w:r>
    </w:p>
    <w:p>
      <w:r>
        <w:t xml:space="preserve">Entgegennahme der Anzeige über Erzeugung, Inverkehrbringen und</w:t>
      </w:r>
    </w:p>
    <w:p>
      <w:r>
        <w:t xml:space="preserve">Einfuhr von Zapfen, Fruchtständen, Früchten und Samen, die nicht zur</w:t>
      </w:r>
    </w:p>
    <w:p>
      <w:r>
        <w:t xml:space="preserve">Aussaat im Wald oder zur Erzeugung von Pflanzgut bestimmt sind (§ 17 Abs.</w:t>
      </w:r>
    </w:p>
    <w:p>
      <w:r>
        <w:t xml:space="preserve">3 des Forstvermehrungsgutgesetzes),</w:t>
      </w:r>
    </w:p>
    <w:p>
      <w:r>
        <w:t xml:space="preserve">vollständige oder teilweise Untersagung der Fortführung eines</w:t>
      </w:r>
    </w:p>
    <w:p>
      <w:r>
        <w:t xml:space="preserve">Forstsamen- oder Forstpflanzenbetriebes (§ 17 Abs. 4 des</w:t>
      </w:r>
    </w:p>
    <w:p>
      <w:r>
        <w:t xml:space="preserve">Forstvermehrungsgutgesetzes),</w:t>
      </w:r>
    </w:p>
    <w:p>
      <w:r>
        <w:t xml:space="preserve">Überwachung der Durchführung des Forstvermehrungsgutgesetzes und</w:t>
      </w:r>
    </w:p>
    <w:p>
      <w:r>
        <w:t xml:space="preserve">der auf Grund des Gesetzes erlassenen Rechtsverordnungen mit Anordnungsbefugnis</w:t>
      </w:r>
    </w:p>
    <w:p>
      <w:r>
        <w:t xml:space="preserve">(§ 18 Abs. 1 bis 6 des Forstvermehrungsgutgesetzes),</w:t>
      </w:r>
    </w:p>
    <w:p>
      <w:r>
        <w:t xml:space="preserve">amtliche Kontrolle einzelner Partien von Vermehrungsgut weiterer Baumarten</w:t>
      </w:r>
    </w:p>
    <w:p>
      <w:r>
        <w:t xml:space="preserve">und künstlicher Hybriden auf Antrag (§ 18 Abs. 7 des</w:t>
      </w:r>
    </w:p>
    <w:p>
      <w:r>
        <w:t xml:space="preserve">Forstvermehrungsgutgesetzes),</w:t>
      </w:r>
    </w:p>
    <w:p>
      <w:r>
        <w:t xml:space="preserve">Amtshilfe bei der Überwachung der Vorschriften der Richtlinie</w:t>
      </w:r>
    </w:p>
    <w:p>
      <w:r>
        <w:t xml:space="preserve">99/105/EG (§ 20 Abs. 2 des Forstvermehrungsgutgesetzes),</w:t>
      </w:r>
    </w:p>
    <w:p>
      <w:r>
        <w:t xml:space="preserve">Entgegennahme der Anmeldung für das Inverkehrbringen von nicht unter</w:t>
      </w:r>
    </w:p>
    <w:p>
      <w:r>
        <w:t xml:space="preserve">dem Forstvermehrungsgutgesetz erzeugten Vermehrungsgut (§ 24 Abs. 2 des</w:t>
      </w:r>
    </w:p>
    <w:p>
      <w:r>
        <w:t xml:space="preserve">Forstvermehrungsgutgesetzes).</w:t>
      </w:r>
    </w:p>
    <w:p>
      <w:r>
        <w:t xml:space="preserve">Entgegennahme der Anzeige bei Erzeugung von forstlichem Vermehrungsgut</w:t>
      </w:r>
    </w:p>
    <w:p>
      <w:r>
        <w:t xml:space="preserve">unmittelbar vom Ausgangsmaterial (§ 7 Absatz 1 Satz 2 des</w:t>
      </w:r>
    </w:p>
    <w:p>
      <w:r>
        <w:t xml:space="preserve">Forstvermehrungsgutgesetzes).</w:t>
      </w:r>
    </w:p>
    <w:p>
      <w:r>
        <w:t xml:space="preserve">Ausstellen des Stammzertifikates für forstliches Vermehrungsgut (§ 8 Absatz 2</w:t>
      </w:r>
    </w:p>
    <w:p>
      <w:r>
        <w:t xml:space="preserve">Satz 1 des Forstvermehrungsgutgesetzes).</w:t>
      </w:r>
    </w:p>
    <w:p>
      <w:r>
        <w:t xml:space="preserve">(2) (aufgehoben)</w:t>
      </w:r>
    </w:p>
    <w:p>
      <w:r>
        <w:t xml:space="preserve">(3) (aufgehoben)</w:t>
      </w:r>
    </w:p>
    <w:p>
      <w:r>
        <w:rPr>
          <w:color w:val="555555"/>
          <w:sz w:val="17"/>
        </w:rPr>
        <w:t xml:space="preserve">Zitiervorschlag: § 1 BbgFoVGDV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https://recht.nulegal.eu/gesetze/BbgFoVGDV/1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