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BbgFischO (Brandenburg) — Genehmigungspflicht von Angelveranstaltungen, Begriffsbestimmung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Gemeinschaftsfischen und ähnliche Angelveranstaltungen dürfen nur mit Genehmigung der Fischereibehörde durchgeführt werden.</w:t>
      </w:r>
    </w:p>
    <w:p>
      <w:r>
        <w:t xml:space="preserve">(2) Gemeinschaftsfischen und ähnliche Angelveranstaltungen sind alle Veranstaltungen, bei denen Fangergebnisse abschließend verglichen oder bewertet werden und deren Zeitpunkt, Ort und Dauer durch Ausschreibung, Aushang oder sonstige Bekanntmachung festgelegt sind.</w:t>
      </w:r>
    </w:p>
    <w:p>
      <w:r>
        <w:rPr>
          <w:color w:val="555555"/>
          <w:sz w:val="17"/>
        </w:rPr>
        <w:t xml:space="preserve">Zitiervorschlag: § 8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