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BbgFischO (Brandenburg) — Fischfang mit Ködern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Es ist verboten, lebende Fische und andere lebende Wirbeltiere sowie Fische, die einem Fangverbot nach § 2 unterliegen, als Köder zu verwenden. Die Fischereibehörde kann im Einzelfall für bestimmte Gewässer oder Gewässerteile den Fischfang mit dem lebenden Köderfisch zulassen, wenn ein vernünftiger Grund gegeben ist.</w:t>
      </w:r>
    </w:p>
    <w:p>
      <w:r>
        <w:t xml:space="preserve">(2) Köderfische dürfen nur in dem Gewässer oder Gewässersystem verwendet werden, aus dem sie gefangen wurden. Dies gilt nicht für tiefgefrorene oder chemisch konservierte Köderfische und tote Seefische.</w:t>
      </w:r>
    </w:p>
    <w:p>
      <w:r>
        <w:t xml:space="preserve">(3) Zum Köderfischfang darf ein Senknetz mit einer Seitenlänge von bis zu 120 Zentimetern verwendet werden.</w:t>
      </w:r>
    </w:p>
    <w:p>
      <w:r>
        <w:rPr>
          <w:color w:val="555555"/>
          <w:sz w:val="17"/>
        </w:rPr>
        <w:t xml:space="preserve">Zitiervorschlag: § 6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