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BbgFischO (Brandenburg) — Verbotene Fanggeräte und Fangmittel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ist verboten, beim Fischfang</w:t>
      </w:r>
    </w:p>
    <w:p>
      <w:r>
        <w:t xml:space="preserve">mechanische und chemische Betäubungsmittel,</w:t>
      </w:r>
    </w:p>
    <w:p>
      <w:r>
        <w:t xml:space="preserve">künstliche Köder mit feststehenden Mehrfachhaken,</w:t>
      </w:r>
    </w:p>
    <w:p>
      <w:r>
        <w:t xml:space="preserve">Fangmethoden und Geräte zum Reißen der Fische, Fallen mit Schlagfedern, Gabeln, Aalharken, Stecheisen, Harpunen und Schlingen anzuwenden.</w:t>
      </w:r>
    </w:p>
    <w:p>
      <w:r>
        <w:t xml:space="preserve">(2) Das Schleppangeln darf von Fahrzeugen, die unter Segel oder mit Motorkraft fahren, nicht ausgeübt werden.</w:t>
      </w:r>
    </w:p>
    <w:p>
      <w:r>
        <w:rPr>
          <w:color w:val="555555"/>
          <w:sz w:val="17"/>
        </w:rPr>
        <w:t xml:space="preserve">Zitiervorschlag: § 4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