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BbgFischO (Brandenburg) — Inkrafttreten</w:t>
      </w:r>
    </w:p>
    <w:p>
      <w:r>
        <w:rPr>
          <w:color w:val="555555"/>
          <w:sz w:val="18"/>
        </w:rPr>
        <w:t xml:space="preserve">Fischereiordnung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Gleichzeitig treten folgende Rechtsvorschriften außer Kraft:</w:t>
      </w:r>
    </w:p>
    <w:p>
      <w:r>
        <w:t xml:space="preserve">Anordnung über die fischwirtschaftliche Nutzung der Binnengewässer, die Ausübung des Fischfangs und des Angelsports im Bereich der Binnenfischerei der Deutschen Demokratischen Republik (Binnenfischereiordnung) vom 16. Juni 1981 (GBl. I Nr. 23 S. 290),</w:t>
      </w:r>
    </w:p>
    <w:p>
      <w:r>
        <w:t xml:space="preserve">Verordnung zur vorläufigen Regelung der Fischereiausübung im Land Brandenburg vom 18. Juni 1991 (GVBl. S. 232).</w:t>
      </w:r>
    </w:p>
    <w:p>
      <w:r>
        <w:rPr>
          <w:color w:val="555555"/>
          <w:sz w:val="17"/>
        </w:rPr>
        <w:t xml:space="preserve">Zitiervorschlag: § 29 BbgFischO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https://recht.nulegal.eu/gesetze/BbgFischO/29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