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BbgFischO (Brandenburg) — Fischkrankheiten, Fischsterben</w:t>
      </w:r>
    </w:p>
    <w:p>
      <w:r>
        <w:rPr>
          <w:color w:val="555555"/>
          <w:sz w:val="18"/>
        </w:rPr>
        <w:t xml:space="preserve">Fischereiordnung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Fischereiberechtigten, Fischereiausübungsberechtigten und Betreiber von Anlagen zur Fischzucht und -haltung sind verpflichtet, der Fischereibehörde oder dem Amtstierarzt das Auftreten von Fischerkrankungen mit seuchenhaftem Charakter sowie von Fischsterben unverzüglich anzuzeigen.</w:t>
      </w:r>
    </w:p>
    <w:p>
      <w:r>
        <w:t xml:space="preserve">(2) Der Fischereiausübungsberechtigte hat auf Verlangen des Amtstierarztes oder des Fischgesundheitsdienstes lebende oder tote Fische im erforderlichen Umfang für Untersuchungen bereitzustellen.</w:t>
      </w:r>
    </w:p>
    <w:p>
      <w:r>
        <w:rPr>
          <w:color w:val="555555"/>
          <w:sz w:val="17"/>
        </w:rPr>
        <w:t xml:space="preserve">Zitiervorschlag: § 21 BbgFischO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https://recht.nulegal.eu/gesetze/BbgFischO/21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