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BbgFischO (Brandenburg) — Besatz- und Anlandungsverpflichtung</w:t>
      </w:r>
    </w:p>
    <w:p>
      <w:r>
        <w:rPr>
          <w:color w:val="555555"/>
          <w:sz w:val="18"/>
        </w:rPr>
        <w:t xml:space="preserve">Fischereiordnung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Fischereibehörde kann die Fischereiberechtigten und die Fischereipächter durch Anordnung verpflichten, bestimmte Fischarten, deren Vorkommen oder Vermehrung aus fischereibiologischen oder gewässerökologischen Gründen unerwünscht ist, zu fangen und anzulanden.</w:t>
      </w:r>
    </w:p>
    <w:p>
      <w:r>
        <w:t xml:space="preserve">(2) Das Landesamt für Verbraucherschutz, Landwirtschaft und Flurneuordnung kann Fischereiberechtigte und Fischereipächter durch Anordnung verpflichten, sich im Rahmen genehmigter Aalbewirtschaftungspläne nach Artikel 2 der Verordnung (EG) Nr. 1100/2007 des Rates vom 18. September 2007 mit Maßnahmen zur Wiederauffüllung des Bestandes des Europäischen Aals (ABl. L 248 vom 22.9.2007, S. 17) an Besatzmaßnahmen zur Wiederauffüllung des europäischen Aalbestandes angemessen zu beteiligen.</w:t>
      </w:r>
    </w:p>
    <w:p>
      <w:r>
        <w:rPr>
          <w:color w:val="555555"/>
          <w:sz w:val="17"/>
        </w:rPr>
        <w:t xml:space="preserve">Zitiervorschlag: § 19 BbgFischO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https://recht.nulegal.eu/gesetze/BbgFischO/19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