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BbgFischO (Brandenburg) — Vermeidung gegenseitiger Störungen</w:t>
      </w:r>
    </w:p>
    <w:p>
      <w:r>
        <w:rPr>
          <w:color w:val="555555"/>
          <w:sz w:val="18"/>
        </w:rPr>
        <w:t xml:space="preserve">Fischereiordnung des Landes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Der Fischfang ist so auszuüben, daß eine gegenseitige Behinderung oder Störung der am Fischfang beteiligten Personen vermieden wird. Bei der Ausübung der Angelfischerei ist auf die Erwerbsfischerei Rücksicht zu nehmen.</w:t>
      </w:r>
    </w:p>
    <w:p>
      <w:r>
        <w:t xml:space="preserve">(2) Bei der Ausübung der Angelfischerei ist ein Abstand von mindestens 50 Metern zu stehenden Fischfanggeräten und ständigen Fischereivorrichtungen einzuhalten.</w:t>
      </w:r>
    </w:p>
    <w:p>
      <w:r>
        <w:rPr>
          <w:color w:val="555555"/>
          <w:sz w:val="17"/>
        </w:rPr>
        <w:t xml:space="preserve">Zitiervorschlag: § 17 BbgFischO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https://recht.nulegal.eu/gesetze/BbgFischO/17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