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BbgFischO (Brandenburg) — Schutz des Erbgutes von Fischen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Fische mit gentechnisch verändertem Erbgut dürfen nur in Aquakulturanlagen gehalten werden, die ein Entweichen ausschließen.</w:t>
      </w:r>
    </w:p>
    <w:p>
      <w:r>
        <w:t xml:space="preserve">(2) Wer Fische mit gentechnisch verändertem Erbgut in Aquakulturanlagen hält, hat dies dem Landesamt für Verbraucherschutz, Landwirtschaft und Flurneuordnung unverzüglich anzuzeigen.</w:t>
      </w:r>
    </w:p>
    <w:p>
      <w:r>
        <w:t xml:space="preserve">(3) In Gewässern mit Vorkommen von sich selbst reproduzierenden Beständen darf der Besatz nur aus Nachzuchten dieser Bestände erfolgen. Die Fischereibehörde kann im Einzelfall zu fischereiwirtschaftlichen oder fischereiwissenschaftlichen Zwecken Ausnahmen zulassen.</w:t>
      </w:r>
    </w:p>
    <w:p>
      <w:r>
        <w:t xml:space="preserve">(4) Absatz 3 Satz 1 findet keine Anwendung bei Besatz der Fischarten Aal, Hecht, Zander, Wels, Schleie, Karpfen, Plötze und Kleine sowie Große Maräne.</w:t>
      </w:r>
    </w:p>
    <w:p>
      <w:r>
        <w:rPr>
          <w:color w:val="555555"/>
          <w:sz w:val="17"/>
        </w:rPr>
        <w:t xml:space="preserve">Zitiervorschlag: § 12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