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BbgFischO (Brandenburg) — Handhabung und Kontrolle von Fischfanggeräten</w:t>
      </w:r>
    </w:p>
    <w:p>
      <w:r>
        <w:rPr>
          <w:color w:val="555555"/>
          <w:sz w:val="18"/>
        </w:rPr>
        <w:t xml:space="preserve">Fischereiordnung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Fischfang mit geschleppten und gezogenen Fischfanggeräten ist so auszuüben, daß mitgefangene untermaßige Fische den Fangvorgang möglichst unbeschädigt überleben.</w:t>
      </w:r>
    </w:p>
    <w:p>
      <w:r>
        <w:t xml:space="preserve">(2) Reusen und Aalfänge sind regelmäßig, mindestens in einem Zeitabstand, der ein Verenden der Fische ausschließt, zu kontrollieren und zu entleeren.</w:t>
      </w:r>
    </w:p>
    <w:p>
      <w:r>
        <w:t xml:space="preserve">(3) Legeangeln, Hamen und Stellnetze sind mindestens einmal täglich zu kontrollieren.</w:t>
      </w:r>
    </w:p>
    <w:p>
      <w:r>
        <w:rPr>
          <w:color w:val="555555"/>
          <w:sz w:val="17"/>
        </w:rPr>
        <w:t xml:space="preserve">Zitiervorschlag: § 10 BbgFischO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https://recht.nulegal.eu/gesetze/BbgFischO/10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