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BbgFischG (Brandenburg) — Beschränkte selbständige Fischereirechte</w:t>
      </w:r>
    </w:p>
    <w:p>
      <w:r>
        <w:rPr>
          <w:color w:val="555555"/>
          <w:sz w:val="18"/>
        </w:rPr>
        <w:t xml:space="preserve">Fischereigesetz für das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 selbständiges Fischereirecht kann auf das Hegen, Fangen oder Aneignen bestimmter Fische, auf die Benutzung bestimmter Fangmittel sowie in anderer Hinsicht eingeschränkt sein (beschränktes selbständiges Fischereirecht).</w:t>
      </w:r>
    </w:p>
    <w:p>
      <w:r>
        <w:t xml:space="preserve">(2) Ein Küchenfischereirecht gibt dem Berechtigten nur die Befugnis, mit der Handangel für den eigenen häuslichen Verbrauch zu fischen.</w:t>
      </w:r>
    </w:p>
    <w:p>
      <w:r>
        <w:rPr>
          <w:color w:val="555555"/>
          <w:sz w:val="17"/>
        </w:rPr>
        <w:t xml:space="preserve">Zitiervorschlag: § 7 BbgFischG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https://recht.nulegal.eu/gesetze/BbgFischG/7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